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74" w:rsidRDefault="00022074" w:rsidP="00022074">
      <w:pPr>
        <w:rPr>
          <w:b/>
          <w:bCs/>
          <w:u w:val="single"/>
          <w:lang w:val="en-US"/>
        </w:rPr>
      </w:pPr>
    </w:p>
    <w:p w:rsidR="00022074" w:rsidRDefault="00022074" w:rsidP="00022074">
      <w:pPr>
        <w:rPr>
          <w:b/>
          <w:bCs/>
          <w:u w:val="single"/>
          <w:lang w:val="en-US"/>
        </w:rPr>
      </w:pPr>
      <w:r>
        <w:rPr>
          <w:b/>
          <w:bCs/>
          <w:noProof/>
          <w:u w:val="single"/>
        </w:rPr>
        <w:drawing>
          <wp:inline distT="0" distB="0" distL="0" distR="0" wp14:anchorId="6B3FC5AF" wp14:editId="088FB341">
            <wp:extent cx="2527591" cy="10210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bins_logolin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91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074" w:rsidRDefault="00022074" w:rsidP="00022074">
      <w:pPr>
        <w:rPr>
          <w:b/>
          <w:bCs/>
          <w:u w:val="single"/>
          <w:lang w:val="en-US"/>
        </w:rPr>
      </w:pPr>
    </w:p>
    <w:p w:rsidR="00022074" w:rsidRDefault="00022074" w:rsidP="00022074">
      <w:pPr>
        <w:rPr>
          <w:b/>
          <w:bCs/>
          <w:u w:val="single"/>
          <w:lang w:val="en-US"/>
        </w:rPr>
      </w:pPr>
    </w:p>
    <w:p w:rsidR="00022074" w:rsidRDefault="00022074" w:rsidP="00022074">
      <w:pPr>
        <w:rPr>
          <w:b/>
          <w:bCs/>
          <w:u w:val="single"/>
          <w:lang w:val="en-US"/>
        </w:rPr>
      </w:pPr>
    </w:p>
    <w:p w:rsidR="00022074" w:rsidRDefault="00022074" w:rsidP="00022074">
      <w:pPr>
        <w:rPr>
          <w:b/>
          <w:bCs/>
          <w:u w:val="single"/>
          <w:lang w:val="en-US"/>
        </w:rPr>
      </w:pPr>
    </w:p>
    <w:p w:rsidR="00022074" w:rsidRDefault="00022074" w:rsidP="0002207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Webinar Details:</w:t>
      </w:r>
    </w:p>
    <w:p w:rsidR="00022074" w:rsidRDefault="00022074" w:rsidP="00022074">
      <w:pPr>
        <w:rPr>
          <w:lang w:val="en-US"/>
        </w:rPr>
      </w:pPr>
      <w:r>
        <w:rPr>
          <w:b/>
          <w:bCs/>
          <w:lang w:val="en-US"/>
        </w:rPr>
        <w:t>Title:</w:t>
      </w:r>
      <w:r>
        <w:rPr>
          <w:lang w:val="en-US"/>
        </w:rPr>
        <w:t>  A Myth Dispelled: In Difficult Ground, the Time for Drill &amp; Blast Excavation has Passed</w:t>
      </w:r>
    </w:p>
    <w:p w:rsidR="00022074" w:rsidRDefault="00022074" w:rsidP="00022074">
      <w:pPr>
        <w:rPr>
          <w:lang w:val="en-US"/>
        </w:rPr>
      </w:pPr>
      <w:r>
        <w:rPr>
          <w:b/>
          <w:bCs/>
          <w:lang w:val="en-US"/>
        </w:rPr>
        <w:t>Date:</w:t>
      </w:r>
      <w:r>
        <w:rPr>
          <w:lang w:val="en-US"/>
        </w:rPr>
        <w:t xml:space="preserve"> Wednesday, April 15th</w:t>
      </w:r>
    </w:p>
    <w:p w:rsidR="00022074" w:rsidRDefault="00022074" w:rsidP="00022074">
      <w:pPr>
        <w:rPr>
          <w:lang w:val="en-US"/>
        </w:rPr>
      </w:pPr>
      <w:r>
        <w:rPr>
          <w:b/>
          <w:bCs/>
          <w:lang w:val="en-US"/>
        </w:rPr>
        <w:t>Time:</w:t>
      </w:r>
      <w:r>
        <w:rPr>
          <w:lang w:val="en-US"/>
        </w:rPr>
        <w:t>  10:00 AM (EST) = 2:00 PM (</w:t>
      </w:r>
      <w:proofErr w:type="spellStart"/>
      <w:r w:rsidR="00801CDB">
        <w:rPr>
          <w:lang w:val="en-US"/>
        </w:rPr>
        <w:t>BST</w:t>
      </w:r>
      <w:proofErr w:type="spellEnd"/>
      <w:r>
        <w:rPr>
          <w:lang w:val="en-US"/>
        </w:rPr>
        <w:t>) = 3:00 PM (</w:t>
      </w:r>
      <w:r w:rsidR="00801CDB">
        <w:rPr>
          <w:lang w:val="en-US"/>
        </w:rPr>
        <w:t>C</w:t>
      </w:r>
      <w:bookmarkStart w:id="0" w:name="_GoBack"/>
      <w:bookmarkEnd w:id="0"/>
      <w:r>
        <w:rPr>
          <w:lang w:val="en-US"/>
        </w:rPr>
        <w:t>EST)</w:t>
      </w:r>
    </w:p>
    <w:p w:rsidR="00022074" w:rsidRDefault="00022074" w:rsidP="00022074">
      <w:pPr>
        <w:rPr>
          <w:lang w:val="en-US"/>
        </w:rPr>
      </w:pPr>
      <w:r>
        <w:rPr>
          <w:b/>
          <w:bCs/>
          <w:lang w:val="en-US"/>
        </w:rPr>
        <w:t>Duration:</w:t>
      </w:r>
      <w:r>
        <w:rPr>
          <w:lang w:val="en-US"/>
        </w:rPr>
        <w:t xml:space="preserve"> 1 hour total</w:t>
      </w:r>
    </w:p>
    <w:p w:rsidR="00022074" w:rsidRDefault="00022074" w:rsidP="00022074">
      <w:pPr>
        <w:rPr>
          <w:lang w:val="en-US"/>
        </w:rPr>
      </w:pPr>
      <w:r>
        <w:rPr>
          <w:b/>
          <w:bCs/>
          <w:lang w:val="en-US"/>
        </w:rPr>
        <w:t>Registration Link:</w:t>
      </w:r>
      <w:r>
        <w:rPr>
          <w:lang w:val="en-US"/>
        </w:rPr>
        <w:t xml:space="preserve"> </w:t>
      </w:r>
      <w:hyperlink r:id="rId6" w:history="1">
        <w:r>
          <w:rPr>
            <w:rStyle w:val="Hyperlink"/>
            <w:lang w:val="en-US"/>
          </w:rPr>
          <w:t>http://bit.ly/TBMWebinar</w:t>
        </w:r>
      </w:hyperlink>
    </w:p>
    <w:p w:rsidR="00022074" w:rsidRDefault="00022074" w:rsidP="00022074">
      <w:pPr>
        <w:rPr>
          <w:b/>
          <w:bCs/>
          <w:lang w:val="en-US"/>
        </w:rPr>
      </w:pPr>
      <w:r>
        <w:rPr>
          <w:b/>
          <w:bCs/>
          <w:lang w:val="en-US"/>
        </w:rPr>
        <w:t>Summary:</w:t>
      </w:r>
    </w:p>
    <w:p w:rsidR="00022074" w:rsidRDefault="00022074" w:rsidP="00022074">
      <w:pPr>
        <w:rPr>
          <w:lang w:val="en-US"/>
        </w:rPr>
      </w:pPr>
      <w:r>
        <w:rPr>
          <w:lang w:val="en-US"/>
        </w:rPr>
        <w:t>In the modern-day tunneling industry, one outdated perception remains:  Traditional, tested methods are always the best. When presented with difficult ground—from fault zones to water inflows to mixed face conditions—many consultants and contractors rely on decades-old field studies and conclude that conventional excavation methods like drill and blast are the best option.  With today’s Tunnel Boring Machine (</w:t>
      </w:r>
      <w:proofErr w:type="spellStart"/>
      <w:r>
        <w:rPr>
          <w:lang w:val="en-US"/>
        </w:rPr>
        <w:t>TBM</w:t>
      </w:r>
      <w:proofErr w:type="spellEnd"/>
      <w:r>
        <w:rPr>
          <w:lang w:val="en-US"/>
        </w:rPr>
        <w:t xml:space="preserve">) technology, this assumption couldn’t be further from the truth. Modern </w:t>
      </w:r>
      <w:proofErr w:type="spellStart"/>
      <w:r>
        <w:rPr>
          <w:lang w:val="en-US"/>
        </w:rPr>
        <w:t>TBMs</w:t>
      </w:r>
      <w:proofErr w:type="spellEnd"/>
      <w:r>
        <w:rPr>
          <w:lang w:val="en-US"/>
        </w:rPr>
        <w:t xml:space="preserve"> are highly adaptable and capable of offering all of the same ground support and excavation capabilities of their conventional counterparts—most often with a safer setup and faster performance, not to mention at a lower overall cost.   </w:t>
      </w:r>
    </w:p>
    <w:p w:rsidR="00022074" w:rsidRDefault="00022074" w:rsidP="00022074">
      <w:pPr>
        <w:rPr>
          <w:lang w:val="en-US"/>
        </w:rPr>
      </w:pPr>
    </w:p>
    <w:p w:rsidR="00022074" w:rsidRDefault="00022074" w:rsidP="00022074">
      <w:pPr>
        <w:rPr>
          <w:lang w:val="en-US"/>
        </w:rPr>
      </w:pPr>
      <w:r>
        <w:rPr>
          <w:lang w:val="en-US"/>
        </w:rPr>
        <w:t xml:space="preserve">In this complimentary 60-minute webinar, Robbins President </w:t>
      </w:r>
      <w:proofErr w:type="spellStart"/>
      <w:r>
        <w:rPr>
          <w:lang w:val="en-US"/>
        </w:rPr>
        <w:t>Lok</w:t>
      </w:r>
      <w:proofErr w:type="spellEnd"/>
      <w:r>
        <w:rPr>
          <w:lang w:val="en-US"/>
        </w:rPr>
        <w:t xml:space="preserve"> Home will analyze recent tunneling projects in difficult ground conditions where </w:t>
      </w:r>
      <w:proofErr w:type="spellStart"/>
      <w:r>
        <w:rPr>
          <w:lang w:val="en-US"/>
        </w:rPr>
        <w:t>TBMs</w:t>
      </w:r>
      <w:proofErr w:type="spellEnd"/>
      <w:r>
        <w:rPr>
          <w:lang w:val="en-US"/>
        </w:rPr>
        <w:t xml:space="preserve"> have proven their worth, including Turkey’s </w:t>
      </w:r>
      <w:proofErr w:type="spellStart"/>
      <w:r>
        <w:rPr>
          <w:lang w:val="en-US"/>
        </w:rPr>
        <w:t>Kargi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Kizilirmak</w:t>
      </w:r>
      <w:proofErr w:type="spellEnd"/>
      <w:r>
        <w:rPr>
          <w:lang w:val="en-US"/>
        </w:rPr>
        <w:t xml:space="preserve"> Hydroelectric Project and Peru’s Olmos Trans-Andean Tunnel.  At </w:t>
      </w:r>
      <w:proofErr w:type="spellStart"/>
      <w:r>
        <w:rPr>
          <w:lang w:val="en-US"/>
        </w:rPr>
        <w:t>Kargi</w:t>
      </w:r>
      <w:proofErr w:type="spellEnd"/>
      <w:r>
        <w:rPr>
          <w:lang w:val="en-US"/>
        </w:rPr>
        <w:t xml:space="preserve">, a shielded hard rock </w:t>
      </w:r>
      <w:proofErr w:type="spellStart"/>
      <w:r>
        <w:rPr>
          <w:lang w:val="en-US"/>
        </w:rPr>
        <w:t>TBM</w:t>
      </w:r>
      <w:proofErr w:type="spellEnd"/>
      <w:r>
        <w:rPr>
          <w:lang w:val="en-US"/>
        </w:rPr>
        <w:t xml:space="preserve"> overcame incredibly difficult mixed face conditions with the help of in-tunnel machine modifications—ultimately completing the tunnel at an advance rate more than twice that of a drill and blast operation proceeding from the opposite end of the tunnel.  At Olmos, the world’s second deepest civil works tunnel, a </w:t>
      </w:r>
      <w:proofErr w:type="spellStart"/>
      <w:r>
        <w:rPr>
          <w:lang w:val="en-US"/>
        </w:rPr>
        <w:t>TBM</w:t>
      </w:r>
      <w:proofErr w:type="spellEnd"/>
      <w:r>
        <w:rPr>
          <w:lang w:val="en-US"/>
        </w:rPr>
        <w:t xml:space="preserve"> ultimately succeeded at boring where drill and blast had failed: below 2,000 m of volatile volcanic rock in the Andes Mountains. </w:t>
      </w:r>
    </w:p>
    <w:p w:rsidR="00022074" w:rsidRDefault="00022074" w:rsidP="00022074">
      <w:pPr>
        <w:rPr>
          <w:lang w:val="en-US"/>
        </w:rPr>
      </w:pPr>
    </w:p>
    <w:p w:rsidR="00022074" w:rsidRDefault="00022074" w:rsidP="00022074">
      <w:pPr>
        <w:rPr>
          <w:lang w:val="en-US"/>
        </w:rPr>
      </w:pPr>
      <w:r>
        <w:rPr>
          <w:lang w:val="en-US"/>
        </w:rPr>
        <w:t xml:space="preserve">We invite you to submit your questions beforehand to </w:t>
      </w:r>
      <w:hyperlink r:id="rId7" w:history="1">
        <w:r>
          <w:rPr>
            <w:rStyle w:val="Hyperlink"/>
            <w:lang w:val="en-US"/>
          </w:rPr>
          <w:t>marketing@robbinstbm.com</w:t>
        </w:r>
      </w:hyperlink>
      <w:r>
        <w:rPr>
          <w:lang w:val="en-US"/>
        </w:rPr>
        <w:t xml:space="preserve"> to get a well-researched answer during the Q&amp;A session at the end of the webinar. </w:t>
      </w:r>
    </w:p>
    <w:p w:rsidR="00022074" w:rsidRDefault="00022074" w:rsidP="00022074">
      <w:pPr>
        <w:rPr>
          <w:lang w:val="en-US"/>
        </w:rPr>
      </w:pPr>
      <w:r>
        <w:rPr>
          <w:lang w:val="en-US"/>
        </w:rPr>
        <w:t>Please let me know if you need additional information.</w:t>
      </w:r>
    </w:p>
    <w:p w:rsidR="00022074" w:rsidRDefault="00022074" w:rsidP="00022074">
      <w:pPr>
        <w:rPr>
          <w:lang w:val="en-US"/>
        </w:rPr>
      </w:pPr>
    </w:p>
    <w:p w:rsidR="00022074" w:rsidRDefault="00022074" w:rsidP="00022074">
      <w:pPr>
        <w:rPr>
          <w:lang w:val="en-US"/>
        </w:rPr>
      </w:pPr>
    </w:p>
    <w:p w:rsidR="00022074" w:rsidRDefault="00022074" w:rsidP="00022074">
      <w:pPr>
        <w:rPr>
          <w:lang w:val="en-US"/>
        </w:rPr>
      </w:pPr>
      <w:r>
        <w:rPr>
          <w:lang w:val="en-US"/>
        </w:rPr>
        <w:t>Please let me know if you have any questions or concerns.</w:t>
      </w:r>
    </w:p>
    <w:p w:rsidR="00022074" w:rsidRDefault="00022074" w:rsidP="00022074">
      <w:pPr>
        <w:rPr>
          <w:lang w:val="en-US"/>
        </w:rPr>
      </w:pPr>
      <w:r>
        <w:rPr>
          <w:lang w:val="en-US"/>
        </w:rPr>
        <w:t>Thanks,</w:t>
      </w:r>
    </w:p>
    <w:p w:rsidR="00022074" w:rsidRDefault="00022074" w:rsidP="00022074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Amey</w:t>
      </w:r>
      <w:proofErr w:type="spellEnd"/>
      <w:r>
        <w:rPr>
          <w:color w:val="1F497D"/>
          <w:lang w:val="en-US"/>
        </w:rPr>
        <w:t xml:space="preserve"> Yong</w:t>
      </w:r>
    </w:p>
    <w:p w:rsidR="00022074" w:rsidRDefault="00022074" w:rsidP="00022074">
      <w:pPr>
        <w:rPr>
          <w:color w:val="1F497D"/>
          <w:lang w:val="en-US"/>
        </w:rPr>
      </w:pPr>
      <w:r>
        <w:rPr>
          <w:color w:val="1F497D"/>
          <w:lang w:val="en-US"/>
        </w:rPr>
        <w:t>Marketing Coordinator</w:t>
      </w:r>
    </w:p>
    <w:p w:rsidR="00022074" w:rsidRDefault="00022074" w:rsidP="00022074">
      <w:pPr>
        <w:rPr>
          <w:color w:val="1F497D"/>
          <w:lang w:val="en-US"/>
        </w:rPr>
      </w:pPr>
      <w:r>
        <w:rPr>
          <w:color w:val="1F497D"/>
          <w:lang w:val="en-US"/>
        </w:rPr>
        <w:t>The Robbins Company</w:t>
      </w:r>
    </w:p>
    <w:p w:rsidR="00022074" w:rsidRDefault="00022074" w:rsidP="00022074">
      <w:pPr>
        <w:rPr>
          <w:color w:val="1F497D"/>
          <w:lang w:val="en-US"/>
        </w:rPr>
      </w:pPr>
      <w:r>
        <w:rPr>
          <w:color w:val="1F497D"/>
          <w:lang w:val="en-US"/>
        </w:rPr>
        <w:t>5866 S. 194</w:t>
      </w:r>
      <w:r>
        <w:rPr>
          <w:color w:val="1F497D"/>
          <w:vertAlign w:val="superscript"/>
          <w:lang w:val="en-US"/>
        </w:rPr>
        <w:t>th</w:t>
      </w:r>
      <w:r>
        <w:rPr>
          <w:color w:val="1F497D"/>
          <w:lang w:val="en-US"/>
        </w:rPr>
        <w:t xml:space="preserve"> St.</w:t>
      </w:r>
    </w:p>
    <w:p w:rsidR="00022074" w:rsidRDefault="00022074" w:rsidP="00022074">
      <w:pPr>
        <w:rPr>
          <w:color w:val="1F497D"/>
          <w:lang w:val="en-US"/>
        </w:rPr>
      </w:pPr>
      <w:r>
        <w:rPr>
          <w:color w:val="1F497D"/>
          <w:lang w:val="en-US"/>
        </w:rPr>
        <w:t>Kent, WA 98032 USA</w:t>
      </w:r>
    </w:p>
    <w:p w:rsidR="00022074" w:rsidRDefault="00022074" w:rsidP="00022074">
      <w:pPr>
        <w:rPr>
          <w:color w:val="1F497D"/>
          <w:lang w:val="en-US"/>
        </w:rPr>
      </w:pPr>
      <w:r>
        <w:rPr>
          <w:color w:val="1F497D"/>
          <w:lang w:val="en-US"/>
        </w:rPr>
        <w:t>Direct: +1 (253) 872-4531</w:t>
      </w:r>
    </w:p>
    <w:p w:rsidR="00022074" w:rsidRDefault="00022074" w:rsidP="0002207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Mobile: +1 (206) 605-9303 </w:t>
      </w:r>
    </w:p>
    <w:p w:rsidR="00022074" w:rsidRDefault="00801CDB" w:rsidP="00022074">
      <w:pPr>
        <w:rPr>
          <w:color w:val="1F497D"/>
          <w:lang w:val="en-US"/>
        </w:rPr>
      </w:pPr>
      <w:hyperlink r:id="rId8" w:history="1">
        <w:r w:rsidR="00022074">
          <w:rPr>
            <w:rStyle w:val="Hyperlink"/>
            <w:color w:val="0000FF"/>
            <w:lang w:val="en-US"/>
          </w:rPr>
          <w:t>www.robbinstbm.com</w:t>
        </w:r>
      </w:hyperlink>
    </w:p>
    <w:p w:rsidR="00085EBD" w:rsidRDefault="00085EBD"/>
    <w:sectPr w:rsidR="00085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74"/>
    <w:rsid w:val="00022074"/>
    <w:rsid w:val="00085EBD"/>
    <w:rsid w:val="008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7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07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7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07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7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binstbm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robbinstb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TBMWebinar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Tunnel Builder Limited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Tunnelbuilder Ltd</dc:creator>
  <cp:lastModifiedBy>Tunnelbuilder Ltd</cp:lastModifiedBy>
  <cp:revision>2</cp:revision>
  <dcterms:created xsi:type="dcterms:W3CDTF">2015-04-02T18:11:00Z</dcterms:created>
  <dcterms:modified xsi:type="dcterms:W3CDTF">2015-04-02T18:11:00Z</dcterms:modified>
</cp:coreProperties>
</file>